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B2760" w14:textId="77777777"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F135BC">
        <w:rPr>
          <w:b/>
          <w:sz w:val="20"/>
          <w:szCs w:val="20"/>
          <w:u w:val="single"/>
        </w:rPr>
        <w:t>Carranza Alarcón</w:t>
      </w:r>
      <w:r w:rsidR="00CF7246" w:rsidRPr="00B32A37">
        <w:rPr>
          <w:b/>
          <w:i/>
          <w:sz w:val="20"/>
          <w:szCs w:val="20"/>
          <w:u w:val="single"/>
          <w:lang w:val="es-CR"/>
        </w:rPr>
        <w:t xml:space="preserve"> </w:t>
      </w:r>
      <w:r w:rsidRPr="00B32A37">
        <w:rPr>
          <w:b/>
          <w:i/>
          <w:sz w:val="20"/>
          <w:szCs w:val="20"/>
          <w:u w:val="single"/>
          <w:lang w:val="es-CR"/>
        </w:rPr>
        <w:t xml:space="preserve">Vs. </w:t>
      </w:r>
      <w:r w:rsidR="00CB5BB1">
        <w:rPr>
          <w:b/>
          <w:sz w:val="20"/>
          <w:szCs w:val="20"/>
          <w:u w:val="single"/>
          <w:lang w:val="es-MX"/>
        </w:rPr>
        <w:t>Ecuador</w:t>
      </w:r>
      <w:r w:rsidRPr="00296F77">
        <w:rPr>
          <w:b/>
          <w:sz w:val="20"/>
          <w:szCs w:val="20"/>
          <w:u w:val="single"/>
          <w:lang w:val="es-MX"/>
        </w:rPr>
        <w:t>: reparaciones pendientes de cumplimiento</w:t>
      </w:r>
    </w:p>
    <w:p w14:paraId="23F2354A" w14:textId="77777777" w:rsidR="004526F2" w:rsidRPr="00296F77" w:rsidRDefault="004526F2"/>
    <w:p w14:paraId="4CE8EEAB" w14:textId="77777777" w:rsidR="009E3B08" w:rsidRPr="006F2756" w:rsidRDefault="009E3B08" w:rsidP="009E3B08">
      <w:pPr>
        <w:pStyle w:val="Prrafodelista"/>
        <w:tabs>
          <w:tab w:val="left" w:pos="720"/>
        </w:tabs>
        <w:ind w:left="0" w:right="-90"/>
        <w:contextualSpacing w:val="0"/>
        <w:jc w:val="both"/>
        <w:rPr>
          <w:rFonts w:eastAsia="Cambria" w:cs="Times New Roman"/>
          <w:bCs/>
          <w:sz w:val="20"/>
          <w:szCs w:val="20"/>
        </w:rPr>
      </w:pPr>
    </w:p>
    <w:p w14:paraId="2DB7EAFC" w14:textId="46E15FD1" w:rsidR="002E376C" w:rsidRPr="002E376C" w:rsidRDefault="009E3B08"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sidRPr="009E3B08">
        <w:rPr>
          <w:rFonts w:eastAsia="Cambria" w:cs="Times New Roman"/>
          <w:bCs/>
          <w:sz w:val="20"/>
          <w:szCs w:val="20"/>
        </w:rPr>
        <w:t>Pagar la cantidad fijada en el párrafo 109 de la presente Sentencia por concepto de indemnización por daño inmaterial, en los términos de los párrafos 115 a 118 del Fallo.</w:t>
      </w:r>
    </w:p>
    <w:p w14:paraId="47B2582F" w14:textId="77777777" w:rsidR="00D3440D" w:rsidRDefault="00D3440D" w:rsidP="00CB5BB1">
      <w:pPr>
        <w:pStyle w:val="Prrafodelista"/>
        <w:tabs>
          <w:tab w:val="left" w:pos="720"/>
        </w:tabs>
        <w:ind w:left="0" w:right="-90"/>
        <w:contextualSpacing w:val="0"/>
        <w:jc w:val="both"/>
        <w:rPr>
          <w:rFonts w:eastAsia="Cambria" w:cs="Times New Roman"/>
          <w:bCs/>
          <w:sz w:val="20"/>
          <w:szCs w:val="20"/>
          <w:lang w:val="es-ES"/>
        </w:rPr>
      </w:pPr>
    </w:p>
    <w:p w14:paraId="2D786EC5" w14:textId="77777777" w:rsidR="00A30406" w:rsidRPr="00E5145F" w:rsidRDefault="00A30406" w:rsidP="00A30406">
      <w:pPr>
        <w:spacing w:after="240"/>
        <w:rPr>
          <w:b/>
          <w:sz w:val="20"/>
          <w:szCs w:val="20"/>
          <w:lang w:val="es-MX"/>
        </w:rPr>
      </w:pPr>
      <w:r w:rsidRPr="00E5145F">
        <w:rPr>
          <w:b/>
          <w:sz w:val="20"/>
          <w:szCs w:val="20"/>
          <w:lang w:val="es-MX"/>
        </w:rPr>
        <w:t>Cumplimiento parcial:</w:t>
      </w:r>
    </w:p>
    <w:p w14:paraId="003E58B5" w14:textId="234895A1" w:rsidR="00A30406" w:rsidRDefault="006F2756" w:rsidP="00A30406">
      <w:pPr>
        <w:jc w:val="both"/>
        <w:rPr>
          <w:rFonts w:eastAsia="Cambria" w:cs="Times New Roman"/>
          <w:bCs/>
          <w:sz w:val="20"/>
          <w:szCs w:val="20"/>
          <w:lang w:val="es-ES"/>
        </w:rPr>
      </w:pPr>
      <w:r>
        <w:rPr>
          <w:rFonts w:eastAsia="Cambria" w:cs="Times New Roman"/>
          <w:bCs/>
          <w:sz w:val="20"/>
          <w:szCs w:val="20"/>
          <w:lang w:val="es-ES"/>
        </w:rPr>
        <w:t>2</w:t>
      </w:r>
      <w:r w:rsidR="00A30406" w:rsidRPr="00B914E4">
        <w:rPr>
          <w:rFonts w:eastAsia="Cambria" w:cs="Times New Roman"/>
          <w:bCs/>
          <w:sz w:val="20"/>
          <w:szCs w:val="20"/>
          <w:lang w:val="es-ES"/>
        </w:rPr>
        <w:t xml:space="preserve">. </w:t>
      </w:r>
      <w:r w:rsidR="00A30406">
        <w:rPr>
          <w:rFonts w:eastAsia="Cambria" w:cs="Times New Roman"/>
          <w:bCs/>
          <w:sz w:val="20"/>
          <w:szCs w:val="20"/>
          <w:lang w:val="es-ES"/>
        </w:rPr>
        <w:tab/>
      </w:r>
      <w:r w:rsidR="00A30406" w:rsidRPr="00B914E4">
        <w:rPr>
          <w:rFonts w:eastAsia="Cambria" w:cs="Times New Roman"/>
          <w:bCs/>
          <w:sz w:val="20"/>
          <w:szCs w:val="20"/>
          <w:lang w:val="es-ES"/>
        </w:rPr>
        <w:t xml:space="preserve">Realizar las publicaciones indicadas en el párrafo </w:t>
      </w:r>
      <w:r w:rsidR="00DC26A7">
        <w:rPr>
          <w:rFonts w:eastAsia="Cambria" w:cs="Times New Roman"/>
          <w:bCs/>
          <w:sz w:val="20"/>
          <w:szCs w:val="20"/>
          <w:lang w:val="es-ES"/>
        </w:rPr>
        <w:t>102</w:t>
      </w:r>
      <w:r w:rsidR="00A30406" w:rsidRPr="00B914E4">
        <w:rPr>
          <w:rFonts w:eastAsia="Cambria" w:cs="Times New Roman"/>
          <w:bCs/>
          <w:sz w:val="20"/>
          <w:szCs w:val="20"/>
          <w:lang w:val="es-ES"/>
        </w:rPr>
        <w:t xml:space="preserve"> de la Sentencia</w:t>
      </w:r>
      <w:r w:rsidR="00F1271C">
        <w:rPr>
          <w:rFonts w:eastAsia="Cambria" w:cs="Times New Roman"/>
          <w:bCs/>
          <w:sz w:val="20"/>
          <w:szCs w:val="20"/>
          <w:lang w:val="es-ES"/>
        </w:rPr>
        <w:t>.</w:t>
      </w:r>
    </w:p>
    <w:p w14:paraId="72DDC2C3" w14:textId="6C2AE495" w:rsidR="00A30406" w:rsidRDefault="00A30406" w:rsidP="00A30406">
      <w:pPr>
        <w:pStyle w:val="NormalWeb"/>
      </w:pPr>
      <w:r>
        <w:rPr>
          <w:rFonts w:ascii="Verdana" w:hAnsi="Verdana"/>
          <w:sz w:val="20"/>
          <w:szCs w:val="20"/>
        </w:rPr>
        <w:t xml:space="preserve">En el </w:t>
      </w:r>
      <w:r w:rsidR="00F1271C">
        <w:rPr>
          <w:rFonts w:ascii="Verdana" w:hAnsi="Verdana"/>
          <w:sz w:val="20"/>
          <w:szCs w:val="20"/>
        </w:rPr>
        <w:t>C</w:t>
      </w:r>
      <w:r>
        <w:rPr>
          <w:rFonts w:ascii="Verdana" w:hAnsi="Verdana"/>
          <w:sz w:val="20"/>
          <w:szCs w:val="20"/>
        </w:rPr>
        <w:t xml:space="preserve">onsiderando 2 de la </w:t>
      </w:r>
      <w:r w:rsidR="009E3B08">
        <w:rPr>
          <w:rFonts w:ascii="Verdana" w:hAnsi="Verdana"/>
          <w:sz w:val="20"/>
          <w:szCs w:val="20"/>
        </w:rPr>
        <w:t>Resolución</w:t>
      </w:r>
      <w:r>
        <w:rPr>
          <w:rFonts w:ascii="Verdana" w:hAnsi="Verdana"/>
          <w:sz w:val="20"/>
          <w:szCs w:val="20"/>
        </w:rPr>
        <w:t xml:space="preserve"> de la Corte de 11 de noviembre de 2022 se explica lo que continúa pendiente de cumplimiento respecto a la presente medida de </w:t>
      </w:r>
      <w:r w:rsidR="009E3B08">
        <w:rPr>
          <w:rFonts w:ascii="Verdana" w:hAnsi="Verdana"/>
          <w:sz w:val="20"/>
          <w:szCs w:val="20"/>
        </w:rPr>
        <w:t>reparación</w:t>
      </w:r>
      <w:r>
        <w:rPr>
          <w:rFonts w:ascii="Verdana" w:hAnsi="Verdana"/>
          <w:sz w:val="20"/>
          <w:szCs w:val="20"/>
        </w:rPr>
        <w:t xml:space="preserve">: </w:t>
      </w:r>
    </w:p>
    <w:p w14:paraId="408596B9" w14:textId="77777777" w:rsidR="00A30406" w:rsidRPr="00A82978" w:rsidRDefault="00A30406" w:rsidP="00A30406">
      <w:pPr>
        <w:pStyle w:val="NormalWeb"/>
        <w:ind w:left="720"/>
        <w:jc w:val="both"/>
        <w:rPr>
          <w:sz w:val="18"/>
          <w:szCs w:val="18"/>
        </w:rPr>
      </w:pPr>
      <w:r w:rsidRPr="00A82978">
        <w:rPr>
          <w:rFonts w:ascii="Verdana" w:hAnsi="Verdana"/>
          <w:sz w:val="18"/>
          <w:szCs w:val="18"/>
        </w:rPr>
        <w:t>2. La Corte considera que Ecuador ha dado cumplimiento parcial a las medidas relativas a la publicación y difusión de la Sentencia ordenadas en el punto resolutivo séptimo y en el párrafo 102 de la misma, ya que ha constatado</w:t>
      </w:r>
      <w:r w:rsidRPr="00A82978">
        <w:rPr>
          <w:rFonts w:ascii="Verdana" w:hAnsi="Verdana"/>
          <w:position w:val="6"/>
          <w:sz w:val="18"/>
          <w:szCs w:val="18"/>
        </w:rPr>
        <w:t xml:space="preserve"> </w:t>
      </w:r>
      <w:r w:rsidRPr="00A82978">
        <w:rPr>
          <w:rFonts w:ascii="Verdana" w:hAnsi="Verdana"/>
          <w:sz w:val="18"/>
          <w:szCs w:val="18"/>
        </w:rPr>
        <w:t xml:space="preserve">que publicó: a) el resumen oficial de la Sentencia en el Diario Oficial, y b) el texto integral de la Sentencia en el sitio </w:t>
      </w:r>
      <w:r w:rsidRPr="00A82978">
        <w:rPr>
          <w:rFonts w:ascii="Verdana" w:hAnsi="Verdana"/>
          <w:i/>
          <w:iCs/>
          <w:sz w:val="18"/>
          <w:szCs w:val="18"/>
        </w:rPr>
        <w:t xml:space="preserve">web </w:t>
      </w:r>
      <w:r w:rsidRPr="00A82978">
        <w:rPr>
          <w:rFonts w:ascii="Verdana" w:hAnsi="Verdana"/>
          <w:sz w:val="18"/>
          <w:szCs w:val="18"/>
        </w:rPr>
        <w:t xml:space="preserve">oficial del Consejo de la Judicatura por el período de un año. Se encuentra pendiente la publicación del resumen oficial de la Sentencia en un diario de amplia circulación nacional, cuyo plazo de cumplimiento venció el 21 de septiembre de 2020, por lo que este Tribunal requiere al Estado dar pronto cumplimiento a este extremo de la medida. </w:t>
      </w:r>
    </w:p>
    <w:p w14:paraId="709C0BAA" w14:textId="77777777" w:rsidR="00A30406" w:rsidRPr="00A30406" w:rsidRDefault="00A30406" w:rsidP="00CB5BB1">
      <w:pPr>
        <w:pStyle w:val="Prrafodelista"/>
        <w:tabs>
          <w:tab w:val="left" w:pos="720"/>
        </w:tabs>
        <w:ind w:left="0" w:right="-90"/>
        <w:contextualSpacing w:val="0"/>
        <w:jc w:val="both"/>
        <w:rPr>
          <w:rFonts w:eastAsia="Cambria" w:cs="Times New Roman"/>
          <w:bCs/>
          <w:sz w:val="20"/>
          <w:szCs w:val="20"/>
          <w:lang w:val="es-EC"/>
        </w:rPr>
      </w:pPr>
    </w:p>
    <w:sectPr w:rsidR="00A30406" w:rsidRPr="00A304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2AFC2" w14:textId="77777777" w:rsidR="00166324" w:rsidRDefault="00166324" w:rsidP="009F7EF4">
      <w:r>
        <w:separator/>
      </w:r>
    </w:p>
  </w:endnote>
  <w:endnote w:type="continuationSeparator" w:id="0">
    <w:p w14:paraId="25E0A517" w14:textId="77777777" w:rsidR="00166324" w:rsidRDefault="00166324"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4AB3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9B89E44"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B7985" w14:textId="77777777" w:rsidR="00166324" w:rsidRDefault="00166324" w:rsidP="009F7EF4">
      <w:r>
        <w:separator/>
      </w:r>
    </w:p>
  </w:footnote>
  <w:footnote w:type="continuationSeparator" w:id="0">
    <w:p w14:paraId="14EBB64E" w14:textId="77777777" w:rsidR="00166324" w:rsidRDefault="00166324"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0C2A22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F135BC">
          <w:rPr>
            <w:noProof/>
            <w:sz w:val="20"/>
            <w:szCs w:val="20"/>
          </w:rPr>
          <w:t>1</w:t>
        </w:r>
        <w:r w:rsidRPr="00675FE7">
          <w:rPr>
            <w:noProof/>
            <w:sz w:val="20"/>
            <w:szCs w:val="20"/>
          </w:rPr>
          <w:fldChar w:fldCharType="end"/>
        </w:r>
      </w:p>
    </w:sdtContent>
  </w:sdt>
  <w:p w14:paraId="75D4A2F6"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218763">
    <w:abstractNumId w:val="6"/>
  </w:num>
  <w:num w:numId="2" w16cid:durableId="2044362488">
    <w:abstractNumId w:val="2"/>
  </w:num>
  <w:num w:numId="3" w16cid:durableId="713117039">
    <w:abstractNumId w:val="5"/>
  </w:num>
  <w:num w:numId="4" w16cid:durableId="416632647">
    <w:abstractNumId w:val="0"/>
  </w:num>
  <w:num w:numId="5" w16cid:durableId="1176194473">
    <w:abstractNumId w:val="1"/>
  </w:num>
  <w:num w:numId="6" w16cid:durableId="513963257">
    <w:abstractNumId w:val="3"/>
  </w:num>
  <w:num w:numId="7" w16cid:durableId="405107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11D30"/>
    <w:rsid w:val="00085589"/>
    <w:rsid w:val="000930F6"/>
    <w:rsid w:val="00101CC6"/>
    <w:rsid w:val="00124FCB"/>
    <w:rsid w:val="001426AA"/>
    <w:rsid w:val="00166324"/>
    <w:rsid w:val="00296F77"/>
    <w:rsid w:val="002B3295"/>
    <w:rsid w:val="002E376C"/>
    <w:rsid w:val="003A7E5E"/>
    <w:rsid w:val="003C561A"/>
    <w:rsid w:val="003F4108"/>
    <w:rsid w:val="004458A1"/>
    <w:rsid w:val="004526F2"/>
    <w:rsid w:val="00474D04"/>
    <w:rsid w:val="00476F6E"/>
    <w:rsid w:val="004C3446"/>
    <w:rsid w:val="005A203D"/>
    <w:rsid w:val="005B1D33"/>
    <w:rsid w:val="005D1A85"/>
    <w:rsid w:val="005F6416"/>
    <w:rsid w:val="00617B3E"/>
    <w:rsid w:val="006A777A"/>
    <w:rsid w:val="006C38A6"/>
    <w:rsid w:val="006F2756"/>
    <w:rsid w:val="00792165"/>
    <w:rsid w:val="007D0FA4"/>
    <w:rsid w:val="00834F1A"/>
    <w:rsid w:val="008C63A9"/>
    <w:rsid w:val="00906C03"/>
    <w:rsid w:val="00926FFB"/>
    <w:rsid w:val="009832C0"/>
    <w:rsid w:val="009846E0"/>
    <w:rsid w:val="009D22BE"/>
    <w:rsid w:val="009E3B08"/>
    <w:rsid w:val="009F7EF4"/>
    <w:rsid w:val="00A30406"/>
    <w:rsid w:val="00AE0035"/>
    <w:rsid w:val="00B11B9B"/>
    <w:rsid w:val="00B32A37"/>
    <w:rsid w:val="00B33305"/>
    <w:rsid w:val="00BA6BA9"/>
    <w:rsid w:val="00BC5824"/>
    <w:rsid w:val="00C4747D"/>
    <w:rsid w:val="00C807CF"/>
    <w:rsid w:val="00CB5BB1"/>
    <w:rsid w:val="00CF7246"/>
    <w:rsid w:val="00D3440D"/>
    <w:rsid w:val="00D41A50"/>
    <w:rsid w:val="00D9186C"/>
    <w:rsid w:val="00DC26A7"/>
    <w:rsid w:val="00E210BA"/>
    <w:rsid w:val="00E42392"/>
    <w:rsid w:val="00E5145F"/>
    <w:rsid w:val="00E85D9E"/>
    <w:rsid w:val="00F1271C"/>
    <w:rsid w:val="00F135BC"/>
    <w:rsid w:val="00F50093"/>
    <w:rsid w:val="00F6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92BE"/>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unhideWhenUsed/>
    <w:rsid w:val="00A30406"/>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1044</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16</cp:revision>
  <cp:lastPrinted>2018-07-09T19:23:00Z</cp:lastPrinted>
  <dcterms:created xsi:type="dcterms:W3CDTF">2023-05-14T17:46:00Z</dcterms:created>
  <dcterms:modified xsi:type="dcterms:W3CDTF">2024-11-18T17:06:00Z</dcterms:modified>
</cp:coreProperties>
</file>